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459" w:type="dxa"/>
        <w:tblLook w:val="04A0"/>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7958B9" w:rsidRPr="007958B9">
              <w:rPr>
                <w:rFonts w:ascii="Arial" w:hAnsi="Arial" w:cs="Arial"/>
                <w:b/>
                <w:color w:val="993300"/>
                <w:sz w:val="32"/>
                <w:szCs w:val="32"/>
                <w:u w:val="single"/>
              </w:rPr>
              <w:t>2</w:t>
            </w:r>
            <w:r w:rsidR="007958B9" w:rsidRPr="00247CCE">
              <w:rPr>
                <w:rFonts w:ascii="Arial" w:hAnsi="Arial" w:cs="Arial"/>
                <w:b/>
                <w:color w:val="993300"/>
                <w:sz w:val="32"/>
                <w:szCs w:val="32"/>
                <w:u w:val="single"/>
              </w:rPr>
              <w:t>7</w:t>
            </w:r>
            <w:r w:rsidR="007958B9">
              <w:rPr>
                <w:rFonts w:ascii="Arial" w:hAnsi="Arial" w:cs="Arial"/>
                <w:b/>
                <w:color w:val="993300"/>
                <w:sz w:val="32"/>
                <w:szCs w:val="32"/>
                <w:u w:val="single"/>
              </w:rPr>
              <w:t>.</w:t>
            </w:r>
            <w:r w:rsidR="007958B9" w:rsidRPr="00247CCE">
              <w:rPr>
                <w:rFonts w:ascii="Arial" w:hAnsi="Arial" w:cs="Arial"/>
                <w:b/>
                <w:color w:val="993300"/>
                <w:sz w:val="32"/>
                <w:szCs w:val="32"/>
                <w:u w:val="single"/>
              </w:rPr>
              <w:t>03</w:t>
            </w:r>
            <w:r w:rsidR="004F6AF9">
              <w:rPr>
                <w:rFonts w:ascii="Arial" w:hAnsi="Arial" w:cs="Arial"/>
                <w:b/>
                <w:color w:val="993300"/>
                <w:sz w:val="32"/>
                <w:szCs w:val="32"/>
                <w:u w:val="single"/>
              </w:rPr>
              <w:t>.2025</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proofErr w:type="spellStart"/>
            <w:r w:rsidRPr="00726F20">
              <w:rPr>
                <w:b/>
                <w:color w:val="993300"/>
                <w:sz w:val="20"/>
                <w:szCs w:val="20"/>
              </w:rPr>
              <w:t>Росреестр</w:t>
            </w:r>
            <w:proofErr w:type="spellEnd"/>
            <w:r w:rsidRPr="00726F20">
              <w:rPr>
                <w:b/>
                <w:color w:val="993300"/>
                <w:sz w:val="20"/>
                <w:szCs w:val="20"/>
              </w:rPr>
              <w:t xml:space="preserve"> и ППК </w:t>
            </w:r>
            <w:proofErr w:type="spellStart"/>
            <w:r w:rsidRPr="00726F20">
              <w:rPr>
                <w:b/>
                <w:color w:val="993300"/>
                <w:sz w:val="20"/>
                <w:szCs w:val="20"/>
              </w:rPr>
              <w:t>Роскадастр</w:t>
            </w:r>
            <w:proofErr w:type="spellEnd"/>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637836" w:rsidRPr="00AC0866" w:rsidRDefault="00637836" w:rsidP="00637836">
            <w:pPr>
              <w:jc w:val="center"/>
              <w:rPr>
                <w:rFonts w:ascii="Arial" w:hAnsi="Arial" w:cs="Arial"/>
                <w:color w:val="623B2A"/>
                <w:spacing w:val="4"/>
                <w:sz w:val="22"/>
                <w:szCs w:val="22"/>
              </w:rPr>
            </w:pPr>
            <w:r>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B34833" w:rsidRPr="003461EB" w:rsidRDefault="00B34833" w:rsidP="000755F2">
            <w:pPr>
              <w:jc w:val="center"/>
              <w:rPr>
                <w:rFonts w:ascii="Arial" w:hAnsi="Arial" w:cs="Arial"/>
                <w:color w:val="623B2A"/>
                <w:spacing w:val="4"/>
                <w:sz w:val="20"/>
                <w:szCs w:val="20"/>
              </w:rPr>
            </w:pP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w:t>
            </w:r>
            <w:proofErr w:type="spellStart"/>
            <w:r w:rsidRPr="003461EB">
              <w:rPr>
                <w:color w:val="623B2A"/>
                <w:spacing w:val="4"/>
                <w:sz w:val="18"/>
                <w:szCs w:val="20"/>
              </w:rPr>
              <w:t>уполномочен-ного</w:t>
            </w:r>
            <w:proofErr w:type="spellEnd"/>
            <w:r w:rsidRPr="003461EB">
              <w:rPr>
                <w:color w:val="623B2A"/>
                <w:spacing w:val="4"/>
                <w:sz w:val="18"/>
                <w:szCs w:val="20"/>
              </w:rPr>
              <w:t xml:space="preserve">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w:t>
            </w:r>
            <w:proofErr w:type="spellStart"/>
            <w:r w:rsidRPr="003461EB">
              <w:rPr>
                <w:color w:val="623B2A"/>
                <w:spacing w:val="4"/>
                <w:sz w:val="18"/>
                <w:szCs w:val="20"/>
              </w:rPr>
              <w:t>машино-места</w:t>
            </w:r>
            <w:proofErr w:type="spellEnd"/>
            <w:r w:rsidRPr="003461EB">
              <w:rPr>
                <w:color w:val="623B2A"/>
                <w:spacing w:val="4"/>
                <w:sz w:val="18"/>
                <w:szCs w:val="20"/>
              </w:rPr>
              <w:t>,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плата:</w:t>
            </w:r>
          </w:p>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B34833" w:rsidRPr="003461EB" w:rsidRDefault="00637836" w:rsidP="00637836">
            <w:pPr>
              <w:pStyle w:val="af5"/>
              <w:jc w:val="center"/>
              <w:rPr>
                <w:color w:val="623B2A"/>
                <w:sz w:val="20"/>
                <w:szCs w:val="20"/>
              </w:rPr>
            </w:pPr>
            <w:r>
              <w:rPr>
                <w:color w:val="623B2A"/>
                <w:sz w:val="22"/>
                <w:szCs w:val="22"/>
              </w:rPr>
              <w:t xml:space="preserve">- на бумажном носителе: от 680 руб. до 10440 </w:t>
            </w:r>
            <w:r w:rsidRPr="00AC0866">
              <w:rPr>
                <w:color w:val="623B2A"/>
                <w:sz w:val="22"/>
                <w:szCs w:val="22"/>
              </w:rPr>
              <w:t>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proofErr w:type="spellStart"/>
            <w:r w:rsidRPr="003461EB">
              <w:rPr>
                <w:b/>
                <w:color w:val="993300"/>
                <w:spacing w:val="4"/>
                <w:sz w:val="20"/>
                <w:szCs w:val="20"/>
              </w:rPr>
              <w:t>Росимущество</w:t>
            </w:r>
            <w:proofErr w:type="spellEnd"/>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B34833" w:rsidRPr="003461EB" w:rsidTr="00810E11">
        <w:trPr>
          <w:trHeight w:val="1082"/>
        </w:trPr>
        <w:tc>
          <w:tcPr>
            <w:tcW w:w="709" w:type="dxa"/>
            <w:shd w:val="clear" w:color="auto" w:fill="auto"/>
            <w:vAlign w:val="center"/>
          </w:tcPr>
          <w:p w:rsidR="00B34833" w:rsidRPr="003461EB" w:rsidRDefault="006D1A69" w:rsidP="006D1A69">
            <w:pPr>
              <w:pStyle w:val="af5"/>
              <w:ind w:left="141"/>
              <w:jc w:val="left"/>
              <w:rPr>
                <w:color w:val="623B2A"/>
                <w:sz w:val="20"/>
                <w:szCs w:val="20"/>
              </w:rPr>
            </w:pPr>
            <w:r>
              <w:rPr>
                <w:color w:val="623B2A"/>
                <w:sz w:val="20"/>
                <w:szCs w:val="20"/>
              </w:rPr>
              <w:t>10.</w:t>
            </w:r>
          </w:p>
        </w:tc>
        <w:tc>
          <w:tcPr>
            <w:tcW w:w="3260" w:type="dxa"/>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D9419B"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D0685A"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3461EB">
              <w:rPr>
                <w:rFonts w:ascii="Arial" w:hAnsi="Arial" w:cs="Arial"/>
                <w:color w:val="623B2A"/>
                <w:sz w:val="20"/>
                <w:szCs w:val="20"/>
              </w:rPr>
              <w:lastRenderedPageBreak/>
              <w:t>предоставляется бесплатно.</w:t>
            </w:r>
          </w:p>
          <w:p w:rsidR="00B34833"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2127" w:type="dxa"/>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lastRenderedPageBreak/>
              <w:t>в 10-дневный срок</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с момента поступления документов в орган</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экономического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льгот по налогам инвесторам, осуществляющим реализацию инвестиционных проектов</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14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Предоставление субсидий субъектам инновационной деятельности малого и среднего предпринимательства </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b/>
                <w:color w:val="623B2A"/>
                <w:sz w:val="20"/>
                <w:szCs w:val="20"/>
              </w:rPr>
            </w:pPr>
            <w:r w:rsidRPr="003461EB">
              <w:rPr>
                <w:color w:val="623B2A"/>
                <w:sz w:val="20"/>
                <w:szCs w:val="20"/>
              </w:rPr>
              <w:t>63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tabs>
                <w:tab w:val="left" w:pos="980"/>
              </w:tabs>
              <w:jc w:val="center"/>
              <w:rPr>
                <w:rFonts w:ascii="Arial" w:hAnsi="Arial" w:cs="Arial"/>
                <w:color w:val="623B2A"/>
                <w:sz w:val="20"/>
                <w:szCs w:val="20"/>
              </w:rPr>
            </w:pPr>
            <w:r w:rsidRPr="003461EB">
              <w:rPr>
                <w:rFonts w:ascii="Arial" w:hAnsi="Arial" w:cs="Arial"/>
                <w:color w:val="623B2A"/>
                <w:sz w:val="20"/>
                <w:szCs w:val="20"/>
              </w:rPr>
              <w:t>63 рабочих дня</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lastRenderedPageBreak/>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 xml:space="preserve">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w:t>
            </w:r>
            <w:r w:rsidRPr="003461EB">
              <w:rPr>
                <w:rFonts w:ascii="Arial" w:hAnsi="Arial" w:cs="Arial"/>
                <w:iCs/>
                <w:color w:val="623B2A"/>
                <w:sz w:val="20"/>
                <w:szCs w:val="20"/>
              </w:rPr>
              <w:lastRenderedPageBreak/>
              <w:t>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lastRenderedPageBreak/>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BA03FA" w:rsidRPr="003461EB" w:rsidTr="00810E11">
        <w:tc>
          <w:tcPr>
            <w:tcW w:w="709" w:type="dxa"/>
            <w:shd w:val="clear" w:color="auto" w:fill="FFFFFF" w:themeFill="background1"/>
            <w:vAlign w:val="center"/>
          </w:tcPr>
          <w:p w:rsidR="00BA03FA" w:rsidRPr="00BA03FA"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BA03FA" w:rsidRDefault="00BA03FA" w:rsidP="00BA03FA">
            <w:pPr>
              <w:rPr>
                <w:rFonts w:ascii="Arial" w:hAnsi="Arial" w:cs="Arial"/>
                <w:color w:val="623B2A"/>
                <w:sz w:val="20"/>
                <w:szCs w:val="22"/>
              </w:rPr>
            </w:pPr>
            <w:r w:rsidRPr="00BA03FA">
              <w:rPr>
                <w:rFonts w:ascii="Arial" w:hAnsi="Arial" w:cs="Arial"/>
                <w:color w:val="623B2A"/>
                <w:sz w:val="20"/>
                <w:szCs w:val="22"/>
              </w:rPr>
              <w:t>Выдача разрешений на установку и эксплуатацию рекламных конструкций</w:t>
            </w:r>
          </w:p>
        </w:tc>
        <w:tc>
          <w:tcPr>
            <w:tcW w:w="2552"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консультирование (информирование),</w:t>
            </w:r>
          </w:p>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прием документов, выдача результата по услуге</w:t>
            </w:r>
          </w:p>
        </w:tc>
        <w:tc>
          <w:tcPr>
            <w:tcW w:w="1984"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государственная пошлина 5000 руб.</w:t>
            </w:r>
          </w:p>
        </w:tc>
        <w:tc>
          <w:tcPr>
            <w:tcW w:w="2127" w:type="dxa"/>
            <w:shd w:val="clear" w:color="auto" w:fill="FFFFFF" w:themeFill="background1"/>
            <w:vAlign w:val="center"/>
          </w:tcPr>
          <w:p w:rsidR="00BA03FA" w:rsidRPr="00BA03FA" w:rsidRDefault="00BA03FA" w:rsidP="00BA03FA">
            <w:pPr>
              <w:pStyle w:val="af5"/>
              <w:jc w:val="center"/>
              <w:rPr>
                <w:color w:val="623B2A"/>
                <w:sz w:val="20"/>
                <w:szCs w:val="22"/>
              </w:rPr>
            </w:pPr>
            <w:r w:rsidRPr="00BA03FA">
              <w:rPr>
                <w:color w:val="623B2A"/>
                <w:sz w:val="20"/>
                <w:szCs w:val="22"/>
              </w:rPr>
              <w:t>2 месяца</w:t>
            </w:r>
          </w:p>
        </w:tc>
      </w:tr>
      <w:tr w:rsidR="00BA03FA" w:rsidRPr="003461EB" w:rsidTr="00C811D0">
        <w:tc>
          <w:tcPr>
            <w:tcW w:w="10632" w:type="dxa"/>
            <w:gridSpan w:val="5"/>
            <w:shd w:val="clear" w:color="auto" w:fill="auto"/>
            <w:vAlign w:val="center"/>
          </w:tcPr>
          <w:p w:rsidR="00BA03FA" w:rsidRPr="003461EB" w:rsidRDefault="00BA03FA" w:rsidP="00BA03FA">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Предоставление лесного </w:t>
            </w:r>
            <w:r w:rsidRPr="003461EB">
              <w:rPr>
                <w:rFonts w:ascii="Arial" w:hAnsi="Arial" w:cs="Arial"/>
                <w:color w:val="623B2A"/>
                <w:sz w:val="20"/>
                <w:szCs w:val="20"/>
              </w:rPr>
              <w:lastRenderedPageBreak/>
              <w:t>участка в постоянное (бессрочное) пользование</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 xml:space="preserve">консультирование </w:t>
            </w:r>
            <w:r w:rsidRPr="003461EB">
              <w:rPr>
                <w:rFonts w:ascii="Arial" w:hAnsi="Arial" w:cs="Arial"/>
                <w:color w:val="623B2A"/>
                <w:sz w:val="20"/>
                <w:szCs w:val="20"/>
              </w:rPr>
              <w:lastRenderedPageBreak/>
              <w:t>(информирование),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lastRenderedPageBreak/>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 xml:space="preserve">30 календарных </w:t>
            </w:r>
            <w:r w:rsidRPr="003461EB">
              <w:rPr>
                <w:color w:val="623B2A"/>
                <w:spacing w:val="2"/>
                <w:sz w:val="20"/>
                <w:szCs w:val="20"/>
              </w:rPr>
              <w:lastRenderedPageBreak/>
              <w:t>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33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32 календарных дней</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30 календарных дней.</w:t>
            </w:r>
          </w:p>
          <w:p w:rsidR="00BA03FA" w:rsidRPr="003461EB" w:rsidRDefault="00BA03FA" w:rsidP="00BA03FA">
            <w:pPr>
              <w:pStyle w:val="af5"/>
              <w:jc w:val="center"/>
              <w:rPr>
                <w:color w:val="623B2A"/>
                <w:sz w:val="20"/>
                <w:szCs w:val="20"/>
              </w:rPr>
            </w:pPr>
            <w:r w:rsidRPr="003461EB">
              <w:rPr>
                <w:color w:val="623B2A"/>
                <w:sz w:val="20"/>
                <w:szCs w:val="20"/>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BA03FA" w:rsidRPr="003461EB" w:rsidRDefault="00BA03FA" w:rsidP="00BA03FA">
            <w:pPr>
              <w:pStyle w:val="af5"/>
              <w:jc w:val="center"/>
              <w:rPr>
                <w:color w:val="623B2A"/>
                <w:sz w:val="20"/>
                <w:szCs w:val="20"/>
              </w:rPr>
            </w:pPr>
            <w:r w:rsidRPr="003461EB">
              <w:rPr>
                <w:color w:val="623B2A"/>
                <w:sz w:val="20"/>
                <w:szCs w:val="20"/>
              </w:rPr>
              <w:t xml:space="preserve">их реставрации срок предоставления муниципальной услуги  продлевается, но </w:t>
            </w:r>
            <w:r w:rsidRPr="003461EB">
              <w:rPr>
                <w:color w:val="623B2A"/>
                <w:sz w:val="20"/>
                <w:szCs w:val="20"/>
              </w:rPr>
              <w:lastRenderedPageBreak/>
              <w:t>не более чем на 30 календарных дней, с обязательным уведомлением об этом заявителя</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lastRenderedPageBreak/>
              <w:t>Муниципальные услуги в сфере архитектуры и градостроительства</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BA03FA" w:rsidRPr="003461EB" w:rsidTr="00810E11">
        <w:trPr>
          <w:trHeight w:val="1692"/>
        </w:trPr>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BA03FA" w:rsidRPr="003461EB" w:rsidRDefault="00BA03FA" w:rsidP="00BA03FA">
            <w:pPr>
              <w:rPr>
                <w:rFonts w:ascii="Arial" w:hAnsi="Arial" w:cs="Arial"/>
                <w:color w:val="623B2A"/>
                <w:sz w:val="20"/>
                <w:szCs w:val="20"/>
              </w:rPr>
            </w:pPr>
          </w:p>
          <w:p w:rsidR="00BA03FA" w:rsidRPr="003461EB" w:rsidRDefault="00BA03FA" w:rsidP="00BA03FA">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Pr="003461EB">
              <w:rPr>
                <w:rFonts w:ascii="Arial" w:hAnsi="Arial" w:cs="Arial"/>
                <w:color w:val="623B2A"/>
                <w:sz w:val="20"/>
                <w:szCs w:val="20"/>
              </w:rPr>
              <w:t xml:space="preserve"> </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BA03FA" w:rsidRPr="003461EB" w:rsidRDefault="00BA03FA" w:rsidP="00BA03FA">
            <w:pPr>
              <w:pStyle w:val="af5"/>
              <w:jc w:val="center"/>
              <w:rPr>
                <w:b/>
                <w:color w:val="623B2A"/>
                <w:sz w:val="20"/>
                <w:szCs w:val="20"/>
              </w:rPr>
            </w:pPr>
            <w:r w:rsidRPr="003461EB">
              <w:rPr>
                <w:color w:val="623B2A"/>
                <w:sz w:val="20"/>
                <w:szCs w:val="20"/>
              </w:rPr>
              <w:t>1</w:t>
            </w:r>
            <w:r>
              <w:rPr>
                <w:color w:val="623B2A"/>
                <w:sz w:val="20"/>
                <w:szCs w:val="20"/>
              </w:rPr>
              <w:t>4</w:t>
            </w:r>
            <w:r w:rsidRPr="003461EB">
              <w:rPr>
                <w:color w:val="623B2A"/>
                <w:sz w:val="20"/>
                <w:szCs w:val="20"/>
              </w:rPr>
              <w:t xml:space="preserve">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14 рабочих дней</w:t>
            </w:r>
          </w:p>
          <w:p w:rsidR="00BA03FA" w:rsidRPr="003461EB" w:rsidRDefault="00BA03FA" w:rsidP="00BA03FA">
            <w:pPr>
              <w:pStyle w:val="af5"/>
              <w:jc w:val="center"/>
              <w:rPr>
                <w:color w:val="623B2A"/>
                <w:sz w:val="20"/>
                <w:szCs w:val="20"/>
              </w:rPr>
            </w:pPr>
            <w:r w:rsidRPr="003461EB">
              <w:rPr>
                <w:color w:val="623B2A"/>
                <w:sz w:val="20"/>
                <w:szCs w:val="20"/>
              </w:rPr>
              <w:t xml:space="preserve">(13 рабочих дней (в случае обращения инвесторов, осуществляющих реализацию инвестиционных проектов на </w:t>
            </w:r>
            <w:r w:rsidRPr="003461EB">
              <w:rPr>
                <w:color w:val="623B2A"/>
                <w:sz w:val="20"/>
                <w:szCs w:val="20"/>
              </w:rPr>
              <w:lastRenderedPageBreak/>
              <w:t>территории города Ростова-на-Дону при объеме капитальных вложений не менее десяти миллионов рублей))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54 календарных дня</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58</w:t>
            </w:r>
            <w:r w:rsidRPr="003461EB">
              <w:rPr>
                <w:rFonts w:ascii="Arial" w:hAnsi="Arial" w:cs="Arial"/>
                <w:color w:val="623B2A"/>
                <w:sz w:val="20"/>
                <w:szCs w:val="20"/>
              </w:rPr>
              <w:t xml:space="preserve"> календарный день</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8D0150" w:rsidRDefault="008D0150" w:rsidP="008D0150">
            <w:bookmarkStart w:id="0" w:name="_GoBack"/>
            <w:bookmarkEnd w:id="0"/>
          </w:p>
          <w:p w:rsidR="00BA03FA" w:rsidRPr="00822708" w:rsidRDefault="00BA03FA" w:rsidP="00BA03FA">
            <w:pPr>
              <w:pStyle w:val="af6"/>
              <w:tabs>
                <w:tab w:val="left" w:pos="884"/>
              </w:tabs>
              <w:rPr>
                <w:color w:val="623B2A"/>
                <w:sz w:val="20"/>
                <w:szCs w:val="20"/>
              </w:rPr>
            </w:pPr>
          </w:p>
        </w:tc>
        <w:tc>
          <w:tcPr>
            <w:tcW w:w="2552"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BA03FA" w:rsidRPr="00822708" w:rsidRDefault="00BA03FA" w:rsidP="00BA03FA">
            <w:pPr>
              <w:pStyle w:val="af5"/>
              <w:jc w:val="center"/>
              <w:rPr>
                <w:color w:val="623B2A"/>
                <w:sz w:val="20"/>
                <w:szCs w:val="20"/>
              </w:rPr>
            </w:pPr>
            <w:r w:rsidRPr="00822708">
              <w:rPr>
                <w:color w:val="623B2A"/>
                <w:sz w:val="20"/>
                <w:szCs w:val="20"/>
              </w:rPr>
              <w:t>10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i/>
                <w:color w:val="623B2A"/>
                <w:sz w:val="20"/>
                <w:szCs w:val="20"/>
              </w:rPr>
            </w:pPr>
          </w:p>
          <w:p w:rsidR="00BA03FA" w:rsidRPr="003461EB" w:rsidRDefault="00BA03FA" w:rsidP="00BA03FA">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10D23" w:rsidRDefault="00BA03FA" w:rsidP="00BA03FA">
            <w:pPr>
              <w:tabs>
                <w:tab w:val="left" w:pos="0"/>
              </w:tabs>
              <w:rPr>
                <w:rFonts w:ascii="Arial" w:hAnsi="Arial" w:cs="Arial"/>
                <w:color w:val="623B2A"/>
                <w:sz w:val="20"/>
                <w:szCs w:val="20"/>
              </w:rPr>
            </w:pPr>
            <w:r w:rsidRPr="007E0B17">
              <w:rPr>
                <w:rFonts w:ascii="Arial" w:hAnsi="Arial" w:cs="Arial"/>
                <w:bCs/>
                <w:color w:val="623B2A"/>
                <w:sz w:val="20"/>
                <w:szCs w:val="20"/>
              </w:rPr>
              <w:t xml:space="preserve">Выдача актов приемочной комиссии после переустройства </w:t>
            </w:r>
            <w:r w:rsidRPr="007E0B17">
              <w:rPr>
                <w:rFonts w:ascii="Arial" w:hAnsi="Arial" w:cs="Arial"/>
                <w:bCs/>
                <w:color w:val="623B2A"/>
                <w:sz w:val="20"/>
                <w:szCs w:val="20"/>
              </w:rPr>
              <w:lastRenderedPageBreak/>
              <w:t>и (или) перепланировки помещения в многоквартирном доме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5EAE0"/>
            <w:vAlign w:val="center"/>
          </w:tcPr>
          <w:p w:rsidR="00BA03FA" w:rsidRPr="007E0B17" w:rsidRDefault="00BA03FA" w:rsidP="00BA03FA">
            <w:pPr>
              <w:pStyle w:val="af5"/>
              <w:jc w:val="center"/>
              <w:rPr>
                <w:color w:val="623B2A"/>
                <w:sz w:val="16"/>
                <w:szCs w:val="16"/>
              </w:rPr>
            </w:pPr>
            <w:r w:rsidRPr="007E0B17">
              <w:rPr>
                <w:color w:val="623B2A"/>
                <w:sz w:val="16"/>
                <w:szCs w:val="16"/>
              </w:rPr>
              <w:t xml:space="preserve">15 рабочих дней со дня поступления заявления о выдаче акта приемочной </w:t>
            </w:r>
            <w:r w:rsidRPr="007E0B17">
              <w:rPr>
                <w:color w:val="623B2A"/>
                <w:sz w:val="16"/>
                <w:szCs w:val="16"/>
              </w:rPr>
              <w:lastRenderedPageBreak/>
              <w:t>комиссии после переустройства и (или) перепланировки помещения в многоквартирном доме.</w:t>
            </w:r>
          </w:p>
          <w:p w:rsidR="00BA03FA" w:rsidRPr="00310D23" w:rsidRDefault="00BA03FA" w:rsidP="00BA03FA">
            <w:pPr>
              <w:pStyle w:val="af5"/>
              <w:jc w:val="center"/>
              <w:rPr>
                <w:color w:val="623B2A"/>
                <w:sz w:val="16"/>
                <w:szCs w:val="16"/>
              </w:rPr>
            </w:pP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10D23" w:rsidRDefault="00BA03FA" w:rsidP="00BA03FA">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BA03FA" w:rsidRPr="00310D23" w:rsidRDefault="00BA03FA" w:rsidP="00BA03FA">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BA03FA" w:rsidRPr="003461EB" w:rsidRDefault="00BA03FA" w:rsidP="00BA03FA">
            <w:pPr>
              <w:pStyle w:val="af5"/>
              <w:jc w:val="center"/>
              <w:rPr>
                <w:color w:val="623B2A"/>
                <w:sz w:val="20"/>
                <w:szCs w:val="20"/>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Выдача актов приемочной комиссии после переустройства и (или) перепланировки жилого помещения</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135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BA03FA" w:rsidRPr="003461EB" w:rsidRDefault="00BA03FA" w:rsidP="00BA03FA">
            <w:pPr>
              <w:rPr>
                <w:rFonts w:ascii="Arial" w:hAnsi="Arial" w:cs="Arial"/>
                <w:color w:val="623B2A"/>
                <w:sz w:val="20"/>
                <w:szCs w:val="20"/>
              </w:rPr>
            </w:pP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03FA" w:rsidRPr="009307F6" w:rsidRDefault="00BA03FA" w:rsidP="00BA03FA">
            <w:pPr>
              <w:rPr>
                <w:rFonts w:ascii="Arial" w:hAnsi="Arial" w:cs="Arial"/>
                <w:color w:val="623B2A"/>
                <w:sz w:val="20"/>
                <w:szCs w:val="20"/>
              </w:rPr>
            </w:pPr>
          </w:p>
        </w:tc>
        <w:tc>
          <w:tcPr>
            <w:tcW w:w="2552"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7 рабочих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 xml:space="preserve">Направление уведомления о соответствии построенных или реконструированных объектов </w:t>
            </w:r>
            <w:r w:rsidRPr="009307F6">
              <w:rPr>
                <w:rFonts w:ascii="Arial" w:hAnsi="Arial" w:cs="Arial"/>
                <w:color w:val="623B2A"/>
                <w:sz w:val="20"/>
                <w:szCs w:val="20"/>
              </w:rPr>
              <w:lastRenderedPageBreak/>
              <w:t>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552"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lastRenderedPageBreak/>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 xml:space="preserve">прием документов, </w:t>
            </w:r>
            <w:r w:rsidRPr="009307F6">
              <w:rPr>
                <w:rFonts w:ascii="Arial" w:hAnsi="Arial" w:cs="Arial"/>
                <w:color w:val="623B2A"/>
                <w:sz w:val="20"/>
                <w:szCs w:val="20"/>
              </w:rPr>
              <w:lastRenderedPageBreak/>
              <w:t>выдача результата по услуге</w:t>
            </w:r>
          </w:p>
        </w:tc>
        <w:tc>
          <w:tcPr>
            <w:tcW w:w="1984"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lastRenderedPageBreak/>
              <w:t>бесплатно</w:t>
            </w:r>
          </w:p>
        </w:tc>
        <w:tc>
          <w:tcPr>
            <w:tcW w:w="2127" w:type="dxa"/>
            <w:shd w:val="clear" w:color="auto" w:fill="FFFFFF" w:themeFill="background1"/>
            <w:vAlign w:val="center"/>
          </w:tcPr>
          <w:p w:rsidR="00BA03FA" w:rsidRPr="009307F6" w:rsidRDefault="00BA03FA" w:rsidP="00BA03FA">
            <w:pPr>
              <w:pStyle w:val="af5"/>
              <w:jc w:val="center"/>
              <w:rPr>
                <w:color w:val="623B2A"/>
                <w:sz w:val="20"/>
                <w:szCs w:val="20"/>
              </w:rPr>
            </w:pPr>
            <w:r w:rsidRPr="009307F6">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 xml:space="preserve">Услуги, предоставляемые Департаментом </w:t>
            </w:r>
            <w:proofErr w:type="spellStart"/>
            <w:r w:rsidRPr="003461EB">
              <w:rPr>
                <w:rFonts w:ascii="Arial" w:hAnsi="Arial" w:cs="Arial"/>
                <w:b/>
                <w:color w:val="993300"/>
                <w:sz w:val="20"/>
                <w:szCs w:val="20"/>
              </w:rPr>
              <w:t>имущественно-земельных</w:t>
            </w:r>
            <w:proofErr w:type="spellEnd"/>
            <w:r w:rsidRPr="003461EB">
              <w:rPr>
                <w:rFonts w:ascii="Arial" w:hAnsi="Arial" w:cs="Arial"/>
                <w:b/>
                <w:color w:val="993300"/>
                <w:sz w:val="20"/>
                <w:szCs w:val="20"/>
              </w:rPr>
              <w:t xml:space="preserve">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15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C80CE9" w:rsidRDefault="00C80CE9" w:rsidP="00BA03FA">
            <w:pPr>
              <w:pStyle w:val="af5"/>
              <w:jc w:val="center"/>
              <w:rPr>
                <w:rFonts w:eastAsia="Calibri"/>
                <w:b/>
                <w:color w:val="623B2A"/>
                <w:sz w:val="12"/>
                <w:szCs w:val="12"/>
                <w:lang w:eastAsia="en-US"/>
              </w:rPr>
            </w:pPr>
            <w:r>
              <w:rPr>
                <w:rFonts w:eastAsia="Calibri"/>
                <w:b/>
                <w:color w:val="623B2A"/>
                <w:sz w:val="12"/>
                <w:szCs w:val="12"/>
                <w:lang w:eastAsia="en-US"/>
              </w:rPr>
              <w:t>20 дней</w:t>
            </w:r>
          </w:p>
          <w:p w:rsidR="00BA03FA" w:rsidRPr="00434C6C" w:rsidRDefault="00BA03FA" w:rsidP="00BA03FA">
            <w:pPr>
              <w:pStyle w:val="af5"/>
              <w:jc w:val="center"/>
              <w:rPr>
                <w:rFonts w:eastAsia="Calibri"/>
                <w:b/>
                <w:color w:val="623B2A"/>
                <w:sz w:val="12"/>
                <w:szCs w:val="12"/>
                <w:lang w:eastAsia="en-US"/>
              </w:rPr>
            </w:pPr>
            <w:r w:rsidRPr="00434C6C">
              <w:rPr>
                <w:rFonts w:eastAsia="Calibri"/>
                <w:b/>
                <w:color w:val="623B2A"/>
                <w:sz w:val="12"/>
                <w:szCs w:val="12"/>
                <w:lang w:eastAsia="en-US"/>
              </w:rPr>
              <w:t>за исключением:</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80 дней)</w:t>
            </w:r>
            <w:r w:rsidR="004F6AF9">
              <w:rPr>
                <w:rFonts w:eastAsia="Calibri"/>
                <w:b/>
                <w:color w:val="623B2A"/>
                <w:sz w:val="12"/>
                <w:szCs w:val="12"/>
                <w:lang w:eastAsia="en-US"/>
              </w:rPr>
              <w:t>,</w:t>
            </w:r>
            <w:r w:rsidRPr="00434C6C">
              <w:rPr>
                <w:rFonts w:eastAsia="Calibri"/>
                <w:b/>
                <w:color w:val="623B2A"/>
                <w:sz w:val="12"/>
                <w:szCs w:val="12"/>
                <w:lang w:eastAsia="en-US"/>
              </w:rPr>
              <w:t xml:space="preserve">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 xml:space="preserve">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w:t>
            </w:r>
            <w:r w:rsidRPr="00434C6C">
              <w:rPr>
                <w:rFonts w:eastAsia="Calibri"/>
                <w:color w:val="623B2A"/>
                <w:sz w:val="12"/>
                <w:szCs w:val="12"/>
                <w:lang w:eastAsia="en-US"/>
              </w:rPr>
              <w:lastRenderedPageBreak/>
              <w:t>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Утверждение схемы расположения земельного участка на кадастровом плане территории для организации аукциона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813D77" w:rsidP="004F6AF9">
            <w:pPr>
              <w:pStyle w:val="af5"/>
              <w:jc w:val="center"/>
              <w:rPr>
                <w:rFonts w:eastAsia="Calibri"/>
                <w:color w:val="623B2A"/>
                <w:sz w:val="20"/>
                <w:szCs w:val="20"/>
                <w:lang w:eastAsia="en-US"/>
              </w:rPr>
            </w:pPr>
            <w:r>
              <w:rPr>
                <w:rFonts w:eastAsia="Calibri"/>
                <w:color w:val="623B2A"/>
                <w:sz w:val="22"/>
                <w:szCs w:val="22"/>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813D77" w:rsidP="00813D77">
            <w:pPr>
              <w:pStyle w:val="af5"/>
              <w:jc w:val="center"/>
              <w:rPr>
                <w:rFonts w:eastAsia="Calibri"/>
                <w:color w:val="623B2A"/>
                <w:sz w:val="20"/>
                <w:szCs w:val="20"/>
                <w:lang w:eastAsia="en-US"/>
              </w:rPr>
            </w:pPr>
            <w:r>
              <w:rPr>
                <w:rFonts w:eastAsia="Calibri"/>
                <w:color w:val="623B2A"/>
                <w:sz w:val="22"/>
                <w:szCs w:val="22"/>
                <w:lang w:eastAsia="en-US"/>
              </w:rPr>
              <w:t xml:space="preserve">20 </w:t>
            </w:r>
            <w:r w:rsidRPr="00AC0866">
              <w:rPr>
                <w:rFonts w:eastAsia="Calibri"/>
                <w:color w:val="623B2A"/>
                <w:sz w:val="22"/>
                <w:szCs w:val="22"/>
                <w:lang w:eastAsia="en-US"/>
              </w:rPr>
              <w:t>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 муниципальной собственности или государственная собственно</w:t>
            </w:r>
            <w:r>
              <w:rPr>
                <w:rFonts w:ascii="Arial" w:hAnsi="Arial" w:cs="Arial"/>
                <w:color w:val="623B2A"/>
              </w:rPr>
              <w:t>сть на которые не разграничена</w:t>
            </w:r>
            <w:r w:rsidRPr="002B1549">
              <w:rPr>
                <w:rFonts w:ascii="Arial" w:hAnsi="Arial" w:cs="Arial"/>
                <w:color w:val="623B2A"/>
              </w:rPr>
              <w:t xml:space="preserve"> 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BA03FA" w:rsidRPr="00C143BA" w:rsidRDefault="00BA03FA" w:rsidP="00BA03FA">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BA03FA" w:rsidRPr="003461EB" w:rsidRDefault="00BA03FA" w:rsidP="00BA03FA">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rFonts w:eastAsia="Calibri"/>
                <w:b/>
                <w:color w:val="993300"/>
                <w:sz w:val="20"/>
                <w:szCs w:val="20"/>
                <w:lang w:eastAsia="en-US"/>
              </w:rPr>
              <w:t xml:space="preserve">Услуги, предоставляемые Департаментом </w:t>
            </w:r>
            <w:proofErr w:type="spellStart"/>
            <w:r w:rsidRPr="003461EB">
              <w:rPr>
                <w:rFonts w:eastAsia="Calibri"/>
                <w:b/>
                <w:color w:val="993300"/>
                <w:sz w:val="20"/>
                <w:szCs w:val="20"/>
                <w:lang w:eastAsia="en-US"/>
              </w:rPr>
              <w:t>имущественно-земельных</w:t>
            </w:r>
            <w:proofErr w:type="spellEnd"/>
            <w:r w:rsidRPr="003461EB">
              <w:rPr>
                <w:rFonts w:eastAsia="Calibri"/>
                <w:b/>
                <w:color w:val="993300"/>
                <w:sz w:val="20"/>
                <w:szCs w:val="20"/>
                <w:lang w:eastAsia="en-US"/>
              </w:rPr>
              <w:t xml:space="preserve">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собственность бесплатно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20 дней, за исключением:</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w:t>
            </w:r>
            <w:r w:rsidRPr="00EF0405">
              <w:rPr>
                <w:rFonts w:eastAsia="Calibri"/>
                <w:b/>
                <w:color w:val="452103"/>
                <w:sz w:val="12"/>
                <w:szCs w:val="12"/>
              </w:rPr>
              <w:lastRenderedPageBreak/>
              <w:t xml:space="preserve">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w:t>
            </w:r>
            <w:r w:rsidRPr="00EF0405">
              <w:rPr>
                <w:rFonts w:eastAsia="Calibri"/>
                <w:b/>
                <w:color w:val="452103"/>
                <w:sz w:val="12"/>
                <w:szCs w:val="12"/>
              </w:rPr>
              <w:lastRenderedPageBreak/>
              <w:t>(30.12.2004),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626D2">
        <w:tc>
          <w:tcPr>
            <w:tcW w:w="10632" w:type="dxa"/>
            <w:gridSpan w:val="5"/>
            <w:shd w:val="clear" w:color="auto" w:fill="auto"/>
            <w:vAlign w:val="center"/>
          </w:tcPr>
          <w:p w:rsidR="00BA03FA" w:rsidRPr="008626D2" w:rsidRDefault="00BA03FA" w:rsidP="00BA03FA">
            <w:pPr>
              <w:jc w:val="center"/>
              <w:rPr>
                <w:rFonts w:eastAsia="Calibri"/>
                <w:b/>
                <w:color w:val="452103"/>
                <w:sz w:val="20"/>
                <w:szCs w:val="20"/>
              </w:rPr>
            </w:pPr>
            <w:r w:rsidRPr="008626D2">
              <w:rPr>
                <w:rFonts w:ascii="Arial" w:eastAsia="Calibri" w:hAnsi="Arial" w:cs="Arial"/>
                <w:b/>
                <w:color w:val="993300"/>
                <w:sz w:val="20"/>
                <w:szCs w:val="20"/>
                <w:lang w:eastAsia="en-US"/>
              </w:rPr>
              <w:lastRenderedPageBreak/>
              <w:t xml:space="preserve">Услуги, предоставляемые Департаментом </w:t>
            </w:r>
            <w:proofErr w:type="spellStart"/>
            <w:r w:rsidRPr="008626D2">
              <w:rPr>
                <w:rFonts w:ascii="Arial" w:eastAsia="Calibri" w:hAnsi="Arial" w:cs="Arial"/>
                <w:b/>
                <w:color w:val="993300"/>
                <w:sz w:val="20"/>
                <w:szCs w:val="20"/>
                <w:lang w:eastAsia="en-US"/>
              </w:rPr>
              <w:t>имущественно-земельных</w:t>
            </w:r>
            <w:proofErr w:type="spellEnd"/>
            <w:r w:rsidRPr="008626D2">
              <w:rPr>
                <w:rFonts w:ascii="Arial" w:eastAsia="Calibri" w:hAnsi="Arial" w:cs="Arial"/>
                <w:b/>
                <w:color w:val="993300"/>
                <w:sz w:val="20"/>
                <w:szCs w:val="20"/>
                <w:lang w:eastAsia="en-US"/>
              </w:rPr>
              <w:t xml:space="preserve"> отношений города </w:t>
            </w:r>
            <w:r w:rsidRPr="008626D2">
              <w:rPr>
                <w:rFonts w:ascii="Arial" w:eastAsia="Calibri" w:hAnsi="Arial" w:cs="Arial"/>
                <w:b/>
                <w:color w:val="993300"/>
                <w:sz w:val="20"/>
                <w:szCs w:val="20"/>
                <w:lang w:eastAsia="en-US"/>
              </w:rPr>
              <w:br/>
              <w:t>Ростова-на-Дону и Управлением торговли и бытового обслуживания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8626D2" w:rsidRDefault="00BA03FA" w:rsidP="00BA03FA">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BA03FA" w:rsidRPr="008626D2" w:rsidRDefault="00BA03FA" w:rsidP="00BA03FA">
            <w:pPr>
              <w:rPr>
                <w:rFonts w:ascii="Arial" w:hAnsi="Arial" w:cs="Arial"/>
                <w:i/>
                <w:color w:val="FF0000"/>
                <w:sz w:val="20"/>
                <w:szCs w:val="20"/>
              </w:rPr>
            </w:pPr>
          </w:p>
        </w:tc>
        <w:tc>
          <w:tcPr>
            <w:tcW w:w="2552"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444F8D" w:rsidRDefault="00BA03FA" w:rsidP="00BA03FA">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BA03FA" w:rsidRPr="00AC0866" w:rsidRDefault="00BA03FA" w:rsidP="00BA03FA">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BA03FA" w:rsidRPr="003461EB" w:rsidTr="008626D2">
        <w:tc>
          <w:tcPr>
            <w:tcW w:w="10632" w:type="dxa"/>
            <w:gridSpan w:val="5"/>
            <w:shd w:val="clear" w:color="auto" w:fill="auto"/>
            <w:vAlign w:val="center"/>
          </w:tcPr>
          <w:p w:rsidR="00BA03FA" w:rsidRPr="008626D2" w:rsidRDefault="00BA03FA" w:rsidP="00BA03FA">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8626D2" w:rsidRDefault="00BA03FA" w:rsidP="00BA03FA">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Заключение договоров аренды муниципального имущества (за </w:t>
            </w:r>
            <w:r w:rsidRPr="003461EB">
              <w:rPr>
                <w:rFonts w:ascii="Arial" w:eastAsia="Calibri" w:hAnsi="Arial" w:cs="Arial"/>
                <w:color w:val="623B2A"/>
                <w:sz w:val="20"/>
                <w:szCs w:val="20"/>
                <w:lang w:eastAsia="en-US"/>
              </w:rPr>
              <w:lastRenderedPageBreak/>
              <w:t>исключением земельных участков) на новый срок</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b/>
                <w:color w:val="993300"/>
                <w:sz w:val="20"/>
                <w:szCs w:val="20"/>
              </w:rPr>
              <w:t xml:space="preserve">Услуги, предоставляемые Департаментом </w:t>
            </w:r>
            <w:proofErr w:type="spellStart"/>
            <w:r w:rsidRPr="003461EB">
              <w:rPr>
                <w:b/>
                <w:color w:val="993300"/>
                <w:sz w:val="20"/>
                <w:szCs w:val="20"/>
              </w:rPr>
              <w:t>имущественно-земельных</w:t>
            </w:r>
            <w:proofErr w:type="spellEnd"/>
            <w:r w:rsidRPr="003461EB">
              <w:rPr>
                <w:b/>
                <w:color w:val="993300"/>
                <w:sz w:val="20"/>
                <w:szCs w:val="20"/>
              </w:rPr>
              <w:t xml:space="preserve"> отношений </w:t>
            </w:r>
            <w:r w:rsidRPr="003461EB">
              <w:rPr>
                <w:b/>
                <w:color w:val="993300"/>
                <w:sz w:val="20"/>
                <w:szCs w:val="20"/>
              </w:rPr>
              <w:br/>
              <w:t>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Default="00BA03FA" w:rsidP="00BA03FA">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BA03FA" w:rsidRPr="003461EB" w:rsidRDefault="00BA03FA" w:rsidP="00BA03FA">
            <w:pPr>
              <w:rPr>
                <w:rFonts w:ascii="Arial" w:eastAsia="Calibri" w:hAnsi="Arial" w:cs="Arial"/>
                <w:color w:val="623B2A"/>
                <w:sz w:val="20"/>
                <w:szCs w:val="20"/>
                <w:lang w:eastAsia="en-US"/>
              </w:rPr>
            </w:pP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Возврат денежных средств на расчетный счет плательщика по арендной плате за использование  муниципального имущества, за исключением земельных </w:t>
            </w:r>
            <w:r w:rsidRPr="003461EB">
              <w:rPr>
                <w:rFonts w:ascii="Arial" w:eastAsia="Calibri" w:hAnsi="Arial" w:cs="Arial"/>
                <w:color w:val="623B2A"/>
                <w:sz w:val="20"/>
                <w:szCs w:val="20"/>
                <w:lang w:eastAsia="en-US"/>
              </w:rPr>
              <w:lastRenderedPageBreak/>
              <w:t>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 для собственных нужд, дачного хозяйства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BA03FA" w:rsidRPr="00F87F90" w:rsidRDefault="00BA03FA" w:rsidP="00BA03FA">
            <w:pPr>
              <w:pStyle w:val="af5"/>
              <w:jc w:val="center"/>
              <w:rPr>
                <w:rFonts w:eastAsia="Calibri"/>
                <w:color w:val="623B2A"/>
                <w:sz w:val="12"/>
                <w:szCs w:val="12"/>
                <w:lang w:eastAsia="en-US"/>
              </w:rPr>
            </w:pP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F87F90" w:rsidRDefault="00BA03FA" w:rsidP="00BA03FA">
            <w:pPr>
              <w:pStyle w:val="af5"/>
              <w:jc w:val="center"/>
              <w:rPr>
                <w:rFonts w:eastAsia="Calibri"/>
                <w:b/>
                <w:color w:val="623B2A"/>
                <w:sz w:val="12"/>
                <w:szCs w:val="12"/>
                <w:lang w:eastAsia="en-US"/>
              </w:rPr>
            </w:pPr>
            <w:r w:rsidRPr="00F87F90">
              <w:rPr>
                <w:rFonts w:eastAsia="Calibri"/>
                <w:b/>
                <w:color w:val="623B2A"/>
                <w:sz w:val="12"/>
                <w:szCs w:val="12"/>
                <w:lang w:eastAsia="en-US"/>
              </w:rPr>
              <w:t>20 дней за исключением:</w:t>
            </w:r>
          </w:p>
          <w:p w:rsidR="00BA03FA" w:rsidRPr="00F87F90" w:rsidRDefault="00BA03FA" w:rsidP="00BA03FA">
            <w:pPr>
              <w:pStyle w:val="af5"/>
              <w:jc w:val="center"/>
              <w:rPr>
                <w:rFonts w:eastAsia="Calibri"/>
                <w:b/>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60 дней</w:t>
            </w:r>
            <w:r w:rsidR="007E6305">
              <w:rPr>
                <w:rFonts w:eastAsia="Calibri"/>
                <w:color w:val="623B2A"/>
                <w:sz w:val="12"/>
                <w:szCs w:val="12"/>
                <w:lang w:eastAsia="en-US"/>
              </w:rPr>
              <w:t>,</w:t>
            </w:r>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F87F90">
              <w:rPr>
                <w:rFonts w:eastAsia="Calibri"/>
                <w:color w:val="623B2A"/>
                <w:sz w:val="12"/>
                <w:szCs w:val="12"/>
                <w:lang w:eastAsia="en-US"/>
              </w:rPr>
              <w:lastRenderedPageBreak/>
              <w:t>для собственных нужд при отсутствии решения о предварительном согласовании предоставления земельного участка» (п.20 раздела 4)</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9263D3" w:rsidRDefault="007E6305" w:rsidP="007E6305">
            <w:pPr>
              <w:pStyle w:val="af5"/>
              <w:jc w:val="center"/>
              <w:rPr>
                <w:rFonts w:eastAsia="Calibri"/>
                <w:color w:val="623B2A"/>
                <w:sz w:val="20"/>
                <w:szCs w:val="20"/>
                <w:lang w:eastAsia="en-US"/>
              </w:rPr>
            </w:pPr>
            <w:r>
              <w:rPr>
                <w:rFonts w:eastAsia="Calibri"/>
                <w:color w:val="623B2A"/>
                <w:sz w:val="22"/>
                <w:szCs w:val="22"/>
                <w:lang w:eastAsia="en-US"/>
              </w:rPr>
              <w:t>2</w:t>
            </w:r>
            <w:r w:rsidRPr="00AC0866">
              <w:rPr>
                <w:rFonts w:eastAsia="Calibri"/>
                <w:color w:val="623B2A"/>
                <w:sz w:val="22"/>
                <w:szCs w:val="22"/>
                <w:lang w:eastAsia="en-US"/>
              </w:rPr>
              <w:t>0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BA03FA" w:rsidRPr="009263D3" w:rsidRDefault="00BA03FA" w:rsidP="007E6305">
            <w:pPr>
              <w:pStyle w:val="af5"/>
              <w:jc w:val="center"/>
              <w:rPr>
                <w:rFonts w:eastAsia="Calibri"/>
                <w:color w:val="623B2A"/>
                <w:sz w:val="20"/>
                <w:szCs w:val="20"/>
                <w:lang w:eastAsia="en-US"/>
              </w:rPr>
            </w:pPr>
            <w:r w:rsidRPr="009263D3">
              <w:rPr>
                <w:rFonts w:eastAsia="Calibri"/>
                <w:color w:val="623B2A"/>
                <w:sz w:val="20"/>
                <w:szCs w:val="20"/>
                <w:lang w:eastAsia="en-US"/>
              </w:rPr>
              <w:t xml:space="preserve">20 дней </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CC1F7D">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BA03FA" w:rsidRPr="004D13E4" w:rsidRDefault="00BA03FA" w:rsidP="00BA03FA">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w:t>
            </w:r>
            <w:r w:rsidRPr="004D13E4">
              <w:rPr>
                <w:sz w:val="12"/>
                <w:szCs w:val="12"/>
              </w:rPr>
              <w:lastRenderedPageBreak/>
              <w:t xml:space="preserve">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BA03FA" w:rsidRPr="00531440" w:rsidRDefault="00BA03FA" w:rsidP="00BA03FA">
            <w:pPr>
              <w:autoSpaceDE w:val="0"/>
              <w:autoSpaceDN w:val="0"/>
              <w:adjustRightInd w:val="0"/>
              <w:jc w:val="center"/>
              <w:rPr>
                <w:sz w:val="20"/>
                <w:szCs w:val="20"/>
              </w:rPr>
            </w:pPr>
          </w:p>
        </w:tc>
      </w:tr>
      <w:tr w:rsidR="00BA03FA" w:rsidRPr="003461EB" w:rsidTr="008626D2">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BA03FA" w:rsidRPr="003461EB"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BA03FA" w:rsidRPr="00531440" w:rsidRDefault="00BA03FA" w:rsidP="00BA03FA">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BA03FA" w:rsidRPr="003461EB" w:rsidTr="00810E11">
        <w:tc>
          <w:tcPr>
            <w:tcW w:w="10632" w:type="dxa"/>
            <w:gridSpan w:val="5"/>
            <w:shd w:val="clear" w:color="auto" w:fill="auto"/>
            <w:vAlign w:val="center"/>
          </w:tcPr>
          <w:p w:rsidR="00BA03FA" w:rsidRPr="00C811D0" w:rsidRDefault="00BA03FA" w:rsidP="00BA03FA">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кафе при стационарном предприятии общественного питания</w:t>
            </w:r>
            <w:r w:rsidRPr="00CA765D">
              <w:rPr>
                <w:rFonts w:ascii="Arial" w:hAnsi="Arial" w:cs="Arial"/>
                <w:color w:val="623B2A"/>
                <w:sz w:val="20"/>
                <w:szCs w:val="20"/>
              </w:rPr>
              <w:t xml:space="preserve"> </w:t>
            </w:r>
          </w:p>
          <w:p w:rsidR="00BA03FA" w:rsidRPr="00CA765D"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BA03FA" w:rsidRPr="00CA765D" w:rsidRDefault="00BA03FA" w:rsidP="00BA03FA">
            <w:pPr>
              <w:pStyle w:val="aff0"/>
              <w:ind w:firstLine="0"/>
              <w:jc w:val="left"/>
              <w:rPr>
                <w:rFonts w:ascii="Arial" w:hAnsi="Arial" w:cs="Arial"/>
                <w:color w:val="623B2A"/>
                <w:sz w:val="20"/>
              </w:rPr>
            </w:pP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BA03FA" w:rsidRPr="003461EB" w:rsidTr="00810E11">
        <w:trPr>
          <w:trHeight w:val="178"/>
        </w:trPr>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lastRenderedPageBreak/>
              <w:t>Услуги муниципального центра развития предпринимательства «Новый Ростов»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 xml:space="preserve">Услуги </w:t>
            </w:r>
            <w:proofErr w:type="spellStart"/>
            <w:r w:rsidRPr="003461EB">
              <w:rPr>
                <w:b/>
                <w:color w:val="993300"/>
                <w:spacing w:val="2"/>
                <w:sz w:val="20"/>
                <w:szCs w:val="20"/>
              </w:rPr>
              <w:t>микрофинансовой</w:t>
            </w:r>
            <w:proofErr w:type="spellEnd"/>
            <w:r w:rsidRPr="003461EB">
              <w:rPr>
                <w:b/>
                <w:color w:val="993300"/>
                <w:spacing w:val="2"/>
                <w:sz w:val="20"/>
                <w:szCs w:val="20"/>
              </w:rPr>
              <w:t xml:space="preserve"> организации «</w:t>
            </w:r>
            <w:proofErr w:type="spellStart"/>
            <w:r w:rsidRPr="003461EB">
              <w:rPr>
                <w:b/>
                <w:color w:val="993300"/>
                <w:spacing w:val="2"/>
                <w:sz w:val="20"/>
                <w:szCs w:val="20"/>
              </w:rPr>
              <w:t>Микрокредитная</w:t>
            </w:r>
            <w:proofErr w:type="spellEnd"/>
            <w:r w:rsidRPr="003461EB">
              <w:rPr>
                <w:b/>
                <w:color w:val="993300"/>
                <w:spacing w:val="2"/>
                <w:sz w:val="20"/>
                <w:szCs w:val="20"/>
              </w:rPr>
              <w:t xml:space="preserve"> компания Ростовский муниципальный фонд поддержки предпринимательства»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 xml:space="preserve">Консультационная поддержка о предоставлении </w:t>
            </w:r>
            <w:proofErr w:type="spellStart"/>
            <w:r w:rsidRPr="003461EB">
              <w:rPr>
                <w:rFonts w:ascii="Arial" w:hAnsi="Arial" w:cs="Arial"/>
                <w:color w:val="623B2A"/>
                <w:spacing w:val="2"/>
                <w:sz w:val="20"/>
                <w:szCs w:val="20"/>
              </w:rPr>
              <w:t>микрозаймов</w:t>
            </w:r>
            <w:proofErr w:type="spellEnd"/>
            <w:r w:rsidRPr="003461EB">
              <w:rPr>
                <w:rFonts w:ascii="Arial" w:hAnsi="Arial" w:cs="Arial"/>
                <w:color w:val="623B2A"/>
                <w:spacing w:val="2"/>
                <w:sz w:val="20"/>
                <w:szCs w:val="20"/>
              </w:rPr>
              <w:t xml:space="preserve"> субъектам малого и среднего предпринимательства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FFFFFF"/>
            <w:vAlign w:val="center"/>
          </w:tcPr>
          <w:p w:rsidR="00BA03FA" w:rsidRPr="003461EB" w:rsidRDefault="00BA03FA" w:rsidP="00BA03FA">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EF1A1C" w:rsidRDefault="00BA03FA" w:rsidP="00BA03FA">
            <w:pPr>
              <w:rPr>
                <w:rFonts w:ascii="Arial" w:hAnsi="Arial" w:cs="Arial"/>
                <w:color w:val="623B2A"/>
                <w:sz w:val="22"/>
                <w:szCs w:val="22"/>
              </w:rPr>
            </w:pPr>
            <w:r w:rsidRPr="00EF1A1C">
              <w:rPr>
                <w:rFonts w:ascii="Arial" w:hAnsi="Arial" w:cs="Arial"/>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rFonts w:ascii="Arial" w:hAnsi="Arial" w:cs="Arial"/>
                <w:color w:val="623B2A"/>
                <w:sz w:val="22"/>
                <w:szCs w:val="22"/>
              </w:rPr>
              <w:t>Госключ</w:t>
            </w:r>
            <w:proofErr w:type="spellEnd"/>
            <w:r w:rsidRPr="00EF1A1C">
              <w:rPr>
                <w:rFonts w:ascii="Arial" w:hAnsi="Arial" w:cs="Arial"/>
                <w:color w:val="623B2A"/>
                <w:sz w:val="22"/>
                <w:szCs w:val="22"/>
              </w:rPr>
              <w:t>»</w:t>
            </w:r>
          </w:p>
        </w:tc>
        <w:tc>
          <w:tcPr>
            <w:tcW w:w="2552" w:type="dxa"/>
            <w:shd w:val="clear" w:color="auto" w:fill="F5EAE0"/>
            <w:vAlign w:val="center"/>
          </w:tcPr>
          <w:p w:rsidR="00BA03FA" w:rsidRPr="00EF1A1C" w:rsidRDefault="00BA03FA" w:rsidP="00BA03FA">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1984"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Услуги акционерного общества «Федеральная корпорация по развитию малого и среднего предпринимательства»</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AC0866" w:rsidRDefault="00C346BF" w:rsidP="00BA03FA">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552" w:type="dxa"/>
            <w:shd w:val="clear" w:color="auto" w:fill="auto"/>
            <w:vAlign w:val="center"/>
          </w:tcPr>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BA03FA" w:rsidRPr="00AC0866" w:rsidRDefault="00BA03FA" w:rsidP="00BA03FA">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BA03FA" w:rsidRPr="00AC0866" w:rsidRDefault="00BA03FA" w:rsidP="00BA03FA">
            <w:pPr>
              <w:pStyle w:val="af5"/>
              <w:jc w:val="center"/>
              <w:rPr>
                <w:color w:val="623B2A"/>
                <w:spacing w:val="2"/>
                <w:sz w:val="22"/>
                <w:szCs w:val="22"/>
              </w:rPr>
            </w:pPr>
            <w:r w:rsidRPr="00AC0866">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 xml:space="preserve">В части услуг, предоставляемых Департаментом </w:t>
            </w:r>
            <w:proofErr w:type="spellStart"/>
            <w:r w:rsidRPr="003461EB">
              <w:rPr>
                <w:b/>
                <w:color w:val="993300"/>
                <w:sz w:val="20"/>
                <w:szCs w:val="20"/>
              </w:rPr>
              <w:t>имущественно-земельных</w:t>
            </w:r>
            <w:proofErr w:type="spellEnd"/>
            <w:r w:rsidRPr="003461EB">
              <w:rPr>
                <w:b/>
                <w:color w:val="993300"/>
                <w:sz w:val="20"/>
                <w:szCs w:val="20"/>
              </w:rPr>
              <w:t xml:space="preserve">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 xml:space="preserve">7 рабочих дней (без государственной регистрации документов Департаментом </w:t>
            </w:r>
            <w:proofErr w:type="spellStart"/>
            <w:r w:rsidRPr="003461EB">
              <w:rPr>
                <w:color w:val="623B2A"/>
                <w:sz w:val="20"/>
                <w:szCs w:val="20"/>
              </w:rPr>
              <w:t>имущественно-земельных</w:t>
            </w:r>
            <w:proofErr w:type="spellEnd"/>
            <w:r w:rsidRPr="003461EB">
              <w:rPr>
                <w:color w:val="623B2A"/>
                <w:sz w:val="20"/>
                <w:szCs w:val="20"/>
              </w:rPr>
              <w:t xml:space="preserve"> отношений);</w:t>
            </w:r>
          </w:p>
          <w:p w:rsidR="00BA03FA" w:rsidRPr="003461EB" w:rsidRDefault="00BA03FA" w:rsidP="00BA03FA">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 xml:space="preserve">ной регистрацией документов Департаментом </w:t>
            </w:r>
            <w:proofErr w:type="spellStart"/>
            <w:r w:rsidRPr="003461EB">
              <w:rPr>
                <w:color w:val="623B2A"/>
                <w:sz w:val="20"/>
                <w:szCs w:val="20"/>
              </w:rPr>
              <w:t>имущественно-земельных</w:t>
            </w:r>
            <w:proofErr w:type="spellEnd"/>
            <w:r w:rsidRPr="003461EB">
              <w:rPr>
                <w:color w:val="623B2A"/>
                <w:sz w:val="20"/>
                <w:szCs w:val="20"/>
              </w:rPr>
              <w:t xml:space="preserve"> отношений)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BA03FA" w:rsidRPr="003461EB" w:rsidRDefault="00BA03FA" w:rsidP="00BA03FA">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30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консультирование (информирование), </w:t>
            </w:r>
            <w:r w:rsidRPr="003461EB">
              <w:rPr>
                <w:rFonts w:ascii="Arial" w:hAnsi="Arial" w:cs="Arial"/>
                <w:color w:val="623B2A"/>
                <w:sz w:val="20"/>
                <w:szCs w:val="20"/>
              </w:rPr>
              <w:lastRenderedPageBreak/>
              <w:t>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срок предоставления услуги не меняется</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BA03FA" w:rsidRPr="003461EB" w:rsidTr="00810E11">
        <w:tc>
          <w:tcPr>
            <w:tcW w:w="10632" w:type="dxa"/>
            <w:gridSpan w:val="5"/>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BA03FA" w:rsidRPr="003461EB" w:rsidRDefault="00BA03FA" w:rsidP="00BA03FA">
            <w:pPr>
              <w:tabs>
                <w:tab w:val="left" w:pos="0"/>
              </w:tabs>
              <w:rPr>
                <w:rFonts w:ascii="Arial" w:hAnsi="Arial" w:cs="Arial"/>
                <w:color w:val="623B2A"/>
                <w:spacing w:val="4"/>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подачи заявки – не позднее, чем за 7 календарных дней до дня предоставления консультации</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Внесудебное банкротство</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F9" w:rsidRDefault="004F6AF9">
      <w:r>
        <w:separator/>
      </w:r>
    </w:p>
  </w:endnote>
  <w:endnote w:type="continuationSeparator" w:id="0">
    <w:p w:rsidR="004F6AF9" w:rsidRDefault="004F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F9" w:rsidRDefault="002D2513" w:rsidP="00732419">
    <w:pPr>
      <w:pStyle w:val="a8"/>
      <w:framePr w:wrap="around" w:vAnchor="text" w:hAnchor="margin" w:xAlign="center" w:y="1"/>
      <w:rPr>
        <w:rStyle w:val="af0"/>
      </w:rPr>
    </w:pPr>
    <w:r>
      <w:rPr>
        <w:rStyle w:val="af0"/>
      </w:rPr>
      <w:fldChar w:fldCharType="begin"/>
    </w:r>
    <w:r w:rsidR="004F6AF9">
      <w:rPr>
        <w:rStyle w:val="af0"/>
      </w:rPr>
      <w:instrText xml:space="preserve">PAGE  </w:instrText>
    </w:r>
    <w:r>
      <w:rPr>
        <w:rStyle w:val="af0"/>
      </w:rPr>
      <w:fldChar w:fldCharType="end"/>
    </w:r>
  </w:p>
  <w:p w:rsidR="004F6AF9" w:rsidRDefault="004F6AF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F9" w:rsidRDefault="002D2513">
    <w:pPr>
      <w:pStyle w:val="a8"/>
      <w:jc w:val="right"/>
    </w:pPr>
    <w:r>
      <w:fldChar w:fldCharType="begin"/>
    </w:r>
    <w:r w:rsidR="004F6AF9">
      <w:instrText xml:space="preserve"> PAGE   \* MERGEFORMAT </w:instrText>
    </w:r>
    <w:r>
      <w:fldChar w:fldCharType="separate"/>
    </w:r>
    <w:r w:rsidR="00247CCE">
      <w:rPr>
        <w:noProof/>
      </w:rPr>
      <w:t>14</w:t>
    </w:r>
    <w:r>
      <w:rPr>
        <w:noProof/>
      </w:rPr>
      <w:fldChar w:fldCharType="end"/>
    </w:r>
  </w:p>
  <w:p w:rsidR="004F6AF9" w:rsidRDefault="004F6A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F9" w:rsidRDefault="004F6AF9">
      <w:r>
        <w:separator/>
      </w:r>
    </w:p>
  </w:footnote>
  <w:footnote w:type="continuationSeparator" w:id="0">
    <w:p w:rsidR="004F6AF9" w:rsidRDefault="004F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2E64"/>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A7935"/>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308"/>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CCE"/>
    <w:rsid w:val="00247E9B"/>
    <w:rsid w:val="002504B2"/>
    <w:rsid w:val="0025118E"/>
    <w:rsid w:val="002514A7"/>
    <w:rsid w:val="00251646"/>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6B0D"/>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513"/>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871A7"/>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6AF9"/>
    <w:rsid w:val="004F7B3A"/>
    <w:rsid w:val="005005D7"/>
    <w:rsid w:val="00500B1C"/>
    <w:rsid w:val="00500E32"/>
    <w:rsid w:val="00501A74"/>
    <w:rsid w:val="00502A27"/>
    <w:rsid w:val="00502A2E"/>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836"/>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8B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6305"/>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3D77"/>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150"/>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03FA"/>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37E0"/>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6BF"/>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0CE9"/>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C6A19"/>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7511-A9F8-44EA-8D1D-66BF1A64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5791</Words>
  <Characters>44342</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50033</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Karapetyan_K</cp:lastModifiedBy>
  <cp:revision>54</cp:revision>
  <cp:lastPrinted>2016-12-06T13:44:00Z</cp:lastPrinted>
  <dcterms:created xsi:type="dcterms:W3CDTF">2024-07-04T10:56:00Z</dcterms:created>
  <dcterms:modified xsi:type="dcterms:W3CDTF">2025-03-27T06:32:00Z</dcterms:modified>
</cp:coreProperties>
</file>